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0D7573"/>
          <w:sz w:val="16"/>
          <w:szCs w:val="16"/>
        </w:rPr>
        <w:t xml:space="preserve">HAVERTON CARE HUB  ·  FREE CHECKLIST</w:t>
      </w:r>
    </w:p>
    <w:p>
      <w:pPr>
        <w:pStyle w:val="Title"/>
        <w:spacing w:after="120"/>
      </w:pPr>
      <w:r>
        <w:rPr>
          <w:rFonts w:ascii="Calibri" w:cs="Calibri" w:eastAsia="Calibri" w:hAnsi="Calibri"/>
          <w:b/>
          <w:bCs/>
          <w:color w:val="0B2431"/>
          <w:sz w:val="42"/>
          <w:szCs w:val="42"/>
        </w:rPr>
        <w:t xml:space="preserve">The manager's monthly audit plan</w:t>
      </w:r>
    </w:p>
    <w:p>
      <w:pPr>
        <w:spacing w:after="120"/>
      </w:pPr>
      <w:r>
        <w:rPr>
          <w:rFonts w:ascii="Calibri" w:cs="Calibri" w:eastAsia="Calibri" w:hAnsi="Calibri"/>
          <w:color w:val="4F646D"/>
          <w:sz w:val="22"/>
          <w:szCs w:val="22"/>
        </w:rPr>
        <w:t xml:space="preserve">These are the 22 audits the Haverton library recommends running every month, and what each one covers. Use it as a month planner: decide who runs each audit and when, and you have a programme rather than a pile of good intentions.</w:t>
      </w:r>
    </w:p>
    <w:p>
      <w:pPr>
        <w:spacing w:after="120"/>
      </w:pPr>
      <w:r>
        <w:rPr>
          <w:rFonts w:ascii="Calibri" w:cs="Calibri" w:eastAsia="Calibri" w:hAnsi="Calibri"/>
          <w:color w:val="4F646D"/>
          <w:sz w:val="22"/>
          <w:szCs w:val="22"/>
        </w:rPr>
        <w:t xml:space="preserve">Tick Yes when the audit is done for the month, Not yet where it slipped. Two months of Not yet in the same row is the conversation to have at your governance meeting.</w:t>
      </w:r>
    </w:p>
    <w:p>
      <w:pPr>
        <w:spacing w:after="120"/>
      </w:pPr>
      <w:r>
        <w:rPr>
          <w:rFonts w:ascii="Calibri" w:cs="Calibri" w:eastAsia="Calibri" w:hAnsi="Calibri"/>
          <w:color w:val="4F646D"/>
          <w:sz w:val="18"/>
          <w:szCs w:val="18"/>
        </w:rPr>
        <w:t xml:space="preserve">22 items. Written for England, reviewed 5 September 2026.</w:t>
      </w:r>
    </w:p>
    <w:p>
      <w:pPr>
        <w:pStyle w:val="Heading1"/>
        <w:spacing w:after="120" w:before="280"/>
      </w:pPr>
      <w:r>
        <w:rPr>
          <w:rFonts w:ascii="Calibri" w:cs="Calibri" w:eastAsia="Calibri" w:hAnsi="Calibri"/>
          <w:b/>
          <w:bCs/>
          <w:color w:val="0B2431"/>
          <w:sz w:val="28"/>
          <w:szCs w:val="28"/>
        </w:rPr>
        <w:t xml:space="preserve">People and their care</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560"/>
        <w:gridCol w:w="7500"/>
        <w:gridCol w:w="720"/>
        <w:gridCol w:w="860"/>
      </w:tblGrid>
      <w:tr>
        <w:trPr>
          <w:tblHeader/>
        </w:trPr>
        <w:tc>
          <w:tcPr>
            <w:tcW w:type="dxa" w:w="5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t>
            </w:r>
          </w:p>
        </w:tc>
        <w:tc>
          <w:tcPr>
            <w:tcW w:type="dxa" w:w="750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What to check</w:t>
            </w:r>
          </w:p>
        </w:tc>
        <w:tc>
          <w:tcPr>
            <w:tcW w:type="dxa" w:w="72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Yes</w:t>
            </w:r>
          </w:p>
        </w:tc>
        <w:tc>
          <w:tcPr>
            <w:tcW w:type="dxa" w:w="8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Not yet</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Care Overview</w:t>
            </w:r>
          </w:p>
          <w:p>
            <w:pPr>
              <w:spacing w:after="40"/>
            </w:pPr>
            <w:r>
              <w:rPr>
                <w:rFonts w:ascii="Calibri" w:cs="Calibri" w:eastAsia="Calibri" w:hAnsi="Calibri"/>
                <w:color w:val="4F646D"/>
                <w:sz w:val="19"/>
                <w:szCs w:val="19"/>
              </w:rPr>
              <w:t xml:space="preserve">Admission, care planning, moving and handling, pressure care, behaviour that challenges, activities, religious and spiritual needs, end of life.</w:t>
            </w:r>
          </w:p>
          <w:p>
            <w:r>
              <w:rPr>
                <w:rFonts w:ascii="Calibri" w:cs="Calibri" w:eastAsia="Calibri" w:hAnsi="Calibri"/>
                <w:color w:val="0D7573"/>
                <w:sz w:val="16"/>
                <w:szCs w:val="16"/>
              </w:rPr>
              <w:t xml:space="preserve">61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2</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Residents' files</w:t>
            </w:r>
          </w:p>
          <w:p>
            <w:pPr>
              <w:spacing w:after="40"/>
            </w:pPr>
            <w:r>
              <w:rPr>
                <w:rFonts w:ascii="Calibri" w:cs="Calibri" w:eastAsia="Calibri" w:hAnsi="Calibri"/>
                <w:color w:val="4F646D"/>
                <w:sz w:val="19"/>
                <w:szCs w:val="19"/>
              </w:rPr>
              <w:t xml:space="preserve">A sample of six files checked for the documents that must be present and current.</w:t>
            </w:r>
          </w:p>
          <w:p>
            <w:r>
              <w:rPr>
                <w:rFonts w:ascii="Calibri" w:cs="Calibri" w:eastAsia="Calibri" w:hAnsi="Calibri"/>
                <w:color w:val="0D7573"/>
                <w:sz w:val="16"/>
                <w:szCs w:val="16"/>
              </w:rPr>
              <w:t xml:space="preserve">11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3</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Nutrition and Hydration</w:t>
            </w:r>
          </w:p>
          <w:p>
            <w:pPr>
              <w:spacing w:after="40"/>
            </w:pPr>
            <w:r>
              <w:rPr>
                <w:rFonts w:ascii="Calibri" w:cs="Calibri" w:eastAsia="Calibri" w:hAnsi="Calibri"/>
                <w:color w:val="4F646D"/>
                <w:sz w:val="19"/>
                <w:szCs w:val="19"/>
              </w:rPr>
              <w:t xml:space="preserve">Screening and assessment, care planning, food and fluid monitoring, special diets and allergens, the mealtime experience, staff competence.</w:t>
            </w:r>
          </w:p>
          <w:p>
            <w:r>
              <w:rPr>
                <w:rFonts w:ascii="Calibri" w:cs="Calibri" w:eastAsia="Calibri" w:hAnsi="Calibri"/>
                <w:color w:val="0D7573"/>
                <w:sz w:val="16"/>
                <w:szCs w:val="16"/>
              </w:rPr>
              <w:t xml:space="preserve">30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4</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Continence and Catheter Care</w:t>
            </w:r>
          </w:p>
          <w:p>
            <w:pPr>
              <w:spacing w:after="40"/>
            </w:pPr>
            <w:r>
              <w:rPr>
                <w:rFonts w:ascii="Calibri" w:cs="Calibri" w:eastAsia="Calibri" w:hAnsi="Calibri"/>
                <w:color w:val="4F646D"/>
                <w:sz w:val="19"/>
                <w:szCs w:val="19"/>
              </w:rPr>
              <w:t xml:space="preserve">Continence assessment and planning, urinary catheter care, bowel care and constipation, infection prevention and recording, dignity and competence.</w:t>
            </w:r>
          </w:p>
          <w:p>
            <w:r>
              <w:rPr>
                <w:rFonts w:ascii="Calibri" w:cs="Calibri" w:eastAsia="Calibri" w:hAnsi="Calibri"/>
                <w:color w:val="0D7573"/>
                <w:sz w:val="16"/>
                <w:szCs w:val="16"/>
              </w:rPr>
              <w:t xml:space="preserve">28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5</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Pressure Ulcer Prevention</w:t>
            </w:r>
          </w:p>
          <w:p>
            <w:pPr>
              <w:spacing w:after="40"/>
            </w:pPr>
            <w:r>
              <w:rPr>
                <w:rFonts w:ascii="Calibri" w:cs="Calibri" w:eastAsia="Calibri" w:hAnsi="Calibri"/>
                <w:color w:val="4F646D"/>
                <w:sz w:val="19"/>
                <w:szCs w:val="19"/>
              </w:rPr>
              <w:t xml:space="preserve">Risk assessment on admission and review, skin inspection and body maps, repositioning and equipment, nutrition and hydration links, escalation and referrals.</w:t>
            </w:r>
          </w:p>
          <w:p>
            <w:r>
              <w:rPr>
                <w:rFonts w:ascii="Calibri" w:cs="Calibri" w:eastAsia="Calibri" w:hAnsi="Calibri"/>
                <w:color w:val="0D7573"/>
                <w:sz w:val="16"/>
                <w:szCs w:val="16"/>
              </w:rPr>
              <w:t xml:space="preserve">60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6</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Wound and Skin Integrity</w:t>
            </w:r>
          </w:p>
          <w:p>
            <w:pPr>
              <w:spacing w:after="40"/>
            </w:pPr>
            <w:r>
              <w:rPr>
                <w:rFonts w:ascii="Calibri" w:cs="Calibri" w:eastAsia="Calibri" w:hAnsi="Calibri"/>
                <w:color w:val="4F646D"/>
                <w:sz w:val="19"/>
                <w:szCs w:val="19"/>
              </w:rPr>
              <w:t xml:space="preserve">The wound register, treatment and dressing records, staff competency, escalation, safeguarding and learning.</w:t>
            </w:r>
          </w:p>
          <w:p>
            <w:r>
              <w:rPr>
                <w:rFonts w:ascii="Calibri" w:cs="Calibri" w:eastAsia="Calibri" w:hAnsi="Calibri"/>
                <w:color w:val="0D7573"/>
                <w:sz w:val="16"/>
                <w:szCs w:val="16"/>
              </w:rPr>
              <w:t xml:space="preserve">37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7</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Activities</w:t>
            </w:r>
          </w:p>
          <w:p>
            <w:pPr>
              <w:spacing w:after="40"/>
            </w:pPr>
            <w:r>
              <w:rPr>
                <w:rFonts w:ascii="Calibri" w:cs="Calibri" w:eastAsia="Calibri" w:hAnsi="Calibri"/>
                <w:color w:val="4F646D"/>
                <w:sz w:val="19"/>
                <w:szCs w:val="19"/>
              </w:rPr>
              <w:t xml:space="preserve">Planning and leadership, observation of activities, resident choice and inclusion, community links, records and care plans.</w:t>
            </w:r>
          </w:p>
          <w:p>
            <w:r>
              <w:rPr>
                <w:rFonts w:ascii="Calibri" w:cs="Calibri" w:eastAsia="Calibri" w:hAnsi="Calibri"/>
                <w:color w:val="0D7573"/>
                <w:sz w:val="16"/>
                <w:szCs w:val="16"/>
              </w:rPr>
              <w:t xml:space="preserve">37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8</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Dignity (residents and staff)</w:t>
            </w:r>
          </w:p>
          <w:p>
            <w:pPr>
              <w:spacing w:after="40"/>
            </w:pPr>
            <w:r>
              <w:rPr>
                <w:rFonts w:ascii="Calibri" w:cs="Calibri" w:eastAsia="Calibri" w:hAnsi="Calibri"/>
                <w:color w:val="4F646D"/>
                <w:sz w:val="19"/>
                <w:szCs w:val="19"/>
              </w:rPr>
              <w:t xml:space="preserve">Communication, empathy and compassion, personalised care, social interaction, food and drink, end of life, recruiting for values, learning from experience.</w:t>
            </w:r>
          </w:p>
          <w:p>
            <w:r>
              <w:rPr>
                <w:rFonts w:ascii="Calibri" w:cs="Calibri" w:eastAsia="Calibri" w:hAnsi="Calibri"/>
                <w:color w:val="0D7573"/>
                <w:sz w:val="16"/>
                <w:szCs w:val="16"/>
              </w:rPr>
              <w:t xml:space="preserve">92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bl>
    <w:p>
      <w:pPr>
        <w:pStyle w:val="Heading1"/>
        <w:spacing w:after="120" w:before="280"/>
      </w:pPr>
      <w:r>
        <w:rPr>
          <w:rFonts w:ascii="Calibri" w:cs="Calibri" w:eastAsia="Calibri" w:hAnsi="Calibri"/>
          <w:b/>
          <w:bCs/>
          <w:color w:val="0B2431"/>
          <w:sz w:val="28"/>
          <w:szCs w:val="28"/>
        </w:rPr>
        <w:t xml:space="preserve">Safety and clinical risk</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560"/>
        <w:gridCol w:w="7500"/>
        <w:gridCol w:w="720"/>
        <w:gridCol w:w="860"/>
      </w:tblGrid>
      <w:tr>
        <w:trPr>
          <w:tblHeader/>
        </w:trPr>
        <w:tc>
          <w:tcPr>
            <w:tcW w:type="dxa" w:w="5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t>
            </w:r>
          </w:p>
        </w:tc>
        <w:tc>
          <w:tcPr>
            <w:tcW w:type="dxa" w:w="750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What to check</w:t>
            </w:r>
          </w:p>
        </w:tc>
        <w:tc>
          <w:tcPr>
            <w:tcW w:type="dxa" w:w="72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Yes</w:t>
            </w:r>
          </w:p>
        </w:tc>
        <w:tc>
          <w:tcPr>
            <w:tcW w:type="dxa" w:w="8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Not yet</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9</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Safeguarding</w:t>
            </w:r>
          </w:p>
          <w:p>
            <w:pPr>
              <w:spacing w:after="40"/>
            </w:pPr>
            <w:r>
              <w:rPr>
                <w:rFonts w:ascii="Calibri" w:cs="Calibri" w:eastAsia="Calibri" w:hAnsi="Calibri"/>
                <w:color w:val="4F646D"/>
                <w:sz w:val="19"/>
                <w:szCs w:val="19"/>
              </w:rPr>
              <w:t xml:space="preserve">Fifteen areas from governance and culture to financial safeguarding and provider oversight. The free Safeguarding assurance guide summarises all fifteen.</w:t>
            </w:r>
          </w:p>
          <w:p>
            <w:r>
              <w:rPr>
                <w:rFonts w:ascii="Calibri" w:cs="Calibri" w:eastAsia="Calibri" w:hAnsi="Calibri"/>
                <w:color w:val="0D7573"/>
                <w:sz w:val="16"/>
                <w:szCs w:val="16"/>
              </w:rPr>
              <w:t xml:space="preserve">150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10</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Medication</w:t>
            </w:r>
          </w:p>
          <w:p>
            <w:pPr>
              <w:spacing w:after="40"/>
            </w:pPr>
            <w:r>
              <w:rPr>
                <w:rFonts w:ascii="Calibri" w:cs="Calibri" w:eastAsia="Calibri" w:hAnsi="Calibri"/>
                <w:color w:val="4F646D"/>
                <w:sz w:val="19"/>
                <w:szCs w:val="19"/>
              </w:rPr>
              <w:t xml:space="preserve">Storage and security, MAR and administration records, controlled drugs, PRN and variable dose, covert medicines and consent, errors and near misses, training and competency.</w:t>
            </w:r>
          </w:p>
          <w:p>
            <w:r>
              <w:rPr>
                <w:rFonts w:ascii="Calibri" w:cs="Calibri" w:eastAsia="Calibri" w:hAnsi="Calibri"/>
                <w:color w:val="0D7573"/>
                <w:sz w:val="16"/>
                <w:szCs w:val="16"/>
              </w:rPr>
              <w:t xml:space="preserve">76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11</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Accidents and Incidents</w:t>
            </w:r>
          </w:p>
          <w:p>
            <w:pPr>
              <w:spacing w:after="40"/>
            </w:pPr>
            <w:r>
              <w:rPr>
                <w:rFonts w:ascii="Calibri" w:cs="Calibri" w:eastAsia="Calibri" w:hAnsi="Calibri"/>
                <w:color w:val="4F646D"/>
                <w:sz w:val="19"/>
                <w:szCs w:val="19"/>
              </w:rPr>
              <w:t xml:space="preserve">Immediate response, records, falls and injuries, investigation and root cause, notifications and safeguarding, trend analysis and governance.</w:t>
            </w:r>
          </w:p>
          <w:p>
            <w:r>
              <w:rPr>
                <w:rFonts w:ascii="Calibri" w:cs="Calibri" w:eastAsia="Calibri" w:hAnsi="Calibri"/>
                <w:color w:val="0D7573"/>
                <w:sz w:val="16"/>
                <w:szCs w:val="16"/>
              </w:rPr>
              <w:t xml:space="preserve">40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12</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Mental Capacity and Deprivation of Liberty</w:t>
            </w:r>
          </w:p>
          <w:p>
            <w:pPr>
              <w:spacing w:after="40"/>
            </w:pPr>
            <w:r>
              <w:rPr>
                <w:rFonts w:ascii="Calibri" w:cs="Calibri" w:eastAsia="Calibri" w:hAnsi="Calibri"/>
                <w:color w:val="4F646D"/>
                <w:sz w:val="19"/>
                <w:szCs w:val="19"/>
              </w:rPr>
              <w:t xml:space="preserve">Capacity assessments, best interests decisions, consent, restraint and restrictive practice, DoLS, staff understanding and governance.</w:t>
            </w:r>
          </w:p>
          <w:p>
            <w:r>
              <w:rPr>
                <w:rFonts w:ascii="Calibri" w:cs="Calibri" w:eastAsia="Calibri" w:hAnsi="Calibri"/>
                <w:color w:val="0D7573"/>
                <w:sz w:val="16"/>
                <w:szCs w:val="16"/>
              </w:rPr>
              <w:t xml:space="preserve">30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13</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Infection control</w:t>
            </w:r>
          </w:p>
          <w:p>
            <w:pPr>
              <w:spacing w:after="40"/>
            </w:pPr>
            <w:r>
              <w:rPr>
                <w:rFonts w:ascii="Calibri" w:cs="Calibri" w:eastAsia="Calibri" w:hAnsi="Calibri"/>
                <w:color w:val="4F646D"/>
                <w:sz w:val="19"/>
                <w:szCs w:val="19"/>
              </w:rPr>
              <w:t xml:space="preserve">Cleaning and disinfection, protective clothing, laundry, waste, pest control, infection control procedures.</w:t>
            </w:r>
          </w:p>
          <w:p>
            <w:r>
              <w:rPr>
                <w:rFonts w:ascii="Calibri" w:cs="Calibri" w:eastAsia="Calibri" w:hAnsi="Calibri"/>
                <w:color w:val="0D7573"/>
                <w:sz w:val="16"/>
                <w:szCs w:val="16"/>
              </w:rPr>
              <w:t xml:space="preserve">27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14</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Health and Safety</w:t>
            </w:r>
          </w:p>
          <w:p>
            <w:pPr>
              <w:spacing w:after="40"/>
            </w:pPr>
            <w:r>
              <w:rPr>
                <w:rFonts w:ascii="Calibri" w:cs="Calibri" w:eastAsia="Calibri" w:hAnsi="Calibri"/>
                <w:color w:val="4F646D"/>
                <w:sz w:val="19"/>
                <w:szCs w:val="19"/>
              </w:rPr>
              <w:t xml:space="preserve">Fire safety and evacuation, water safety and legionella, electrical and gas, COSHH, moving and handling equipment, security and personal safety, statutory checks and records.</w:t>
            </w:r>
          </w:p>
          <w:p>
            <w:r>
              <w:rPr>
                <w:rFonts w:ascii="Calibri" w:cs="Calibri" w:eastAsia="Calibri" w:hAnsi="Calibri"/>
                <w:color w:val="0D7573"/>
                <w:sz w:val="16"/>
                <w:szCs w:val="16"/>
              </w:rPr>
              <w:t xml:space="preserve">108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bl>
    <w:p>
      <w:pPr>
        <w:pStyle w:val="Heading1"/>
        <w:spacing w:after="120" w:before="280"/>
      </w:pPr>
      <w:r>
        <w:rPr>
          <w:rFonts w:ascii="Calibri" w:cs="Calibri" w:eastAsia="Calibri" w:hAnsi="Calibri"/>
          <w:b/>
          <w:bCs/>
          <w:color w:val="0B2431"/>
          <w:sz w:val="28"/>
          <w:szCs w:val="28"/>
        </w:rPr>
        <w:t xml:space="preserve">Premises and services</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560"/>
        <w:gridCol w:w="7500"/>
        <w:gridCol w:w="720"/>
        <w:gridCol w:w="860"/>
      </w:tblGrid>
      <w:tr>
        <w:trPr>
          <w:tblHeader/>
        </w:trPr>
        <w:tc>
          <w:tcPr>
            <w:tcW w:type="dxa" w:w="5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t>
            </w:r>
          </w:p>
        </w:tc>
        <w:tc>
          <w:tcPr>
            <w:tcW w:type="dxa" w:w="750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What to check</w:t>
            </w:r>
          </w:p>
        </w:tc>
        <w:tc>
          <w:tcPr>
            <w:tcW w:type="dxa" w:w="72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Yes</w:t>
            </w:r>
          </w:p>
        </w:tc>
        <w:tc>
          <w:tcPr>
            <w:tcW w:type="dxa" w:w="8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Not yet</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15</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Kitchen and mealtime observation</w:t>
            </w:r>
          </w:p>
          <w:p>
            <w:pPr>
              <w:spacing w:after="40"/>
            </w:pPr>
            <w:r>
              <w:rPr>
                <w:rFonts w:ascii="Calibri" w:cs="Calibri" w:eastAsia="Calibri" w:hAnsi="Calibri"/>
                <w:color w:val="4F646D"/>
                <w:sz w:val="19"/>
                <w:szCs w:val="19"/>
              </w:rPr>
              <w:t xml:space="preserve">Food hygiene, cleanliness, chemicals, equipment, fire and electrical safety, pest control, protective clothing, waste.</w:t>
            </w:r>
          </w:p>
          <w:p>
            <w:r>
              <w:rPr>
                <w:rFonts w:ascii="Calibri" w:cs="Calibri" w:eastAsia="Calibri" w:hAnsi="Calibri"/>
                <w:color w:val="0D7573"/>
                <w:sz w:val="16"/>
                <w:szCs w:val="16"/>
              </w:rPr>
              <w:t xml:space="preserve">93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16</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Laundry and housekeeping</w:t>
            </w:r>
          </w:p>
          <w:p>
            <w:pPr>
              <w:spacing w:after="40"/>
            </w:pPr>
            <w:r>
              <w:rPr>
                <w:rFonts w:ascii="Calibri" w:cs="Calibri" w:eastAsia="Calibri" w:hAnsi="Calibri"/>
                <w:color w:val="4F646D"/>
                <w:sz w:val="19"/>
                <w:szCs w:val="19"/>
              </w:rPr>
              <w:t xml:space="preserve">The environment, plus a sample of bedding, tablecloths, clothing, towels and face cloths.</w:t>
            </w:r>
          </w:p>
          <w:p>
            <w:r>
              <w:rPr>
                <w:rFonts w:ascii="Calibri" w:cs="Calibri" w:eastAsia="Calibri" w:hAnsi="Calibri"/>
                <w:color w:val="0D7573"/>
                <w:sz w:val="16"/>
                <w:szCs w:val="16"/>
              </w:rPr>
              <w:t xml:space="preserve">38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17</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Maintenance and grounds</w:t>
            </w:r>
          </w:p>
          <w:p>
            <w:pPr>
              <w:spacing w:after="40"/>
            </w:pPr>
            <w:r>
              <w:rPr>
                <w:rFonts w:ascii="Calibri" w:cs="Calibri" w:eastAsia="Calibri" w:hAnsi="Calibri"/>
                <w:color w:val="4F646D"/>
                <w:sz w:val="19"/>
                <w:szCs w:val="19"/>
              </w:rPr>
              <w:t xml:space="preserve">Boiler, electrical system, fire systems, passenger lift, hoists and mobility equipment, water system controls, radiators, windows, internal and external areas.</w:t>
            </w:r>
          </w:p>
          <w:p>
            <w:r>
              <w:rPr>
                <w:rFonts w:ascii="Calibri" w:cs="Calibri" w:eastAsia="Calibri" w:hAnsi="Calibri"/>
                <w:color w:val="0D7573"/>
                <w:sz w:val="16"/>
                <w:szCs w:val="16"/>
              </w:rPr>
              <w:t xml:space="preserve">75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18</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Utilities</w:t>
            </w:r>
          </w:p>
          <w:p>
            <w:pPr>
              <w:spacing w:after="40"/>
            </w:pPr>
            <w:r>
              <w:rPr>
                <w:rFonts w:ascii="Calibri" w:cs="Calibri" w:eastAsia="Calibri" w:hAnsi="Calibri"/>
                <w:color w:val="4F646D"/>
                <w:sz w:val="19"/>
                <w:szCs w:val="19"/>
              </w:rPr>
              <w:t xml:space="preserve">The inspection evidence for the services the building depends on.</w:t>
            </w:r>
          </w:p>
          <w:p>
            <w:r>
              <w:rPr>
                <w:rFonts w:ascii="Calibri" w:cs="Calibri" w:eastAsia="Calibri" w:hAnsi="Calibri"/>
                <w:color w:val="0D7573"/>
                <w:sz w:val="16"/>
                <w:szCs w:val="16"/>
              </w:rPr>
              <w:t xml:space="preserve">10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bl>
    <w:p>
      <w:pPr>
        <w:pStyle w:val="Heading1"/>
        <w:spacing w:after="120" w:before="280"/>
      </w:pPr>
      <w:r>
        <w:rPr>
          <w:rFonts w:ascii="Calibri" w:cs="Calibri" w:eastAsia="Calibri" w:hAnsi="Calibri"/>
          <w:b/>
          <w:bCs/>
          <w:color w:val="0B2431"/>
          <w:sz w:val="28"/>
          <w:szCs w:val="28"/>
        </w:rPr>
        <w:t xml:space="preserve">Workforce and governance</w:t>
      </w:r>
    </w:p>
    <w:tbl>
      <w:tblPr>
        <w:tblW w:type="dxa" w:w="9640"/>
        <w:tblBorders>
          <w:top w:val="single" w:color="auto" w:sz="4"/>
          <w:left w:val="single" w:color="auto" w:sz="4"/>
          <w:bottom w:val="single" w:color="auto" w:sz="4"/>
          <w:right w:val="single" w:color="auto" w:sz="4"/>
          <w:insideH w:val="single" w:color="auto" w:sz="4"/>
          <w:insideV w:val="single" w:color="auto" w:sz="4"/>
        </w:tblBorders>
      </w:tblPr>
      <w:tblGrid>
        <w:gridCol w:w="560"/>
        <w:gridCol w:w="7500"/>
        <w:gridCol w:w="720"/>
        <w:gridCol w:w="860"/>
      </w:tblGrid>
      <w:tr>
        <w:trPr>
          <w:tblHeader/>
        </w:trPr>
        <w:tc>
          <w:tcPr>
            <w:tcW w:type="dxa" w:w="5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t>
            </w:r>
          </w:p>
        </w:tc>
        <w:tc>
          <w:tcPr>
            <w:tcW w:type="dxa" w:w="750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left"/>
            </w:pPr>
            <w:r>
              <w:rPr>
                <w:rFonts w:ascii="Calibri" w:cs="Calibri" w:eastAsia="Calibri" w:hAnsi="Calibri"/>
                <w:b/>
                <w:bCs/>
                <w:color w:val="0B2431"/>
                <w:sz w:val="18"/>
                <w:szCs w:val="18"/>
              </w:rPr>
              <w:t xml:space="preserve">What to check</w:t>
            </w:r>
          </w:p>
        </w:tc>
        <w:tc>
          <w:tcPr>
            <w:tcW w:type="dxa" w:w="72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Yes</w:t>
            </w:r>
          </w:p>
        </w:tc>
        <w:tc>
          <w:tcPr>
            <w:tcW w:type="dxa" w:w="860"/>
            <w:tcBorders>
              <w:top w:val="single" w:color="D9E3E6" w:sz="4"/>
              <w:left w:val="single" w:color="D9E3E6" w:sz="4"/>
              <w:bottom w:val="single" w:color="D9E3E6" w:sz="4"/>
              <w:right w:val="single" w:color="D9E3E6" w:sz="4"/>
            </w:tcBorders>
            <w:shd w:fill="E0EFEE" w:color="auto" w:val="clear"/>
            <w:tcMar>
              <w:top w:type="dxa" w:w="80"/>
              <w:left w:type="dxa" w:w="100"/>
              <w:bottom w:type="dxa" w:w="80"/>
              <w:right w:type="dxa" w:w="100"/>
            </w:tcMar>
          </w:tcPr>
          <w:p>
            <w:pPr>
              <w:jc w:val="center"/>
            </w:pPr>
            <w:r>
              <w:rPr>
                <w:rFonts w:ascii="Calibri" w:cs="Calibri" w:eastAsia="Calibri" w:hAnsi="Calibri"/>
                <w:b/>
                <w:bCs/>
                <w:color w:val="0B2431"/>
                <w:sz w:val="18"/>
                <w:szCs w:val="18"/>
              </w:rPr>
              <w:t xml:space="preserve">Not yet</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19</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Staff files</w:t>
            </w:r>
          </w:p>
          <w:p>
            <w:pPr>
              <w:spacing w:after="40"/>
            </w:pPr>
            <w:r>
              <w:rPr>
                <w:rFonts w:ascii="Calibri" w:cs="Calibri" w:eastAsia="Calibri" w:hAnsi="Calibri"/>
                <w:color w:val="4F646D"/>
                <w:sz w:val="19"/>
                <w:szCs w:val="19"/>
              </w:rPr>
              <w:t xml:space="preserve">A sample of six files checked for the recruitment and employment documents that must be present.</w:t>
            </w:r>
          </w:p>
          <w:p>
            <w:r>
              <w:rPr>
                <w:rFonts w:ascii="Calibri" w:cs="Calibri" w:eastAsia="Calibri" w:hAnsi="Calibri"/>
                <w:color w:val="0D7573"/>
                <w:sz w:val="16"/>
                <w:szCs w:val="16"/>
              </w:rPr>
              <w:t xml:space="preserve">17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20</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Training</w:t>
            </w:r>
          </w:p>
          <w:p>
            <w:pPr>
              <w:spacing w:after="40"/>
            </w:pPr>
            <w:r>
              <w:rPr>
                <w:rFonts w:ascii="Calibri" w:cs="Calibri" w:eastAsia="Calibri" w:hAnsi="Calibri"/>
                <w:color w:val="4F646D"/>
                <w:sz w:val="19"/>
                <w:szCs w:val="19"/>
              </w:rPr>
              <w:t xml:space="preserve">A coverage matrix showing what each role has completed and what is outstanding.</w:t>
            </w:r>
          </w:p>
          <w:p>
            <w:r>
              <w:rPr>
                <w:rFonts w:ascii="Calibri" w:cs="Calibri" w:eastAsia="Calibri" w:hAnsi="Calibri"/>
                <w:color w:val="0D7573"/>
                <w:sz w:val="16"/>
                <w:szCs w:val="16"/>
              </w:rPr>
              <w:t xml:space="preserve">19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21</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Supervision and Appraisal</w:t>
            </w:r>
          </w:p>
          <w:p>
            <w:pPr>
              <w:spacing w:after="40"/>
            </w:pPr>
            <w:r>
              <w:rPr>
                <w:rFonts w:ascii="Calibri" w:cs="Calibri" w:eastAsia="Calibri" w:hAnsi="Calibri"/>
                <w:color w:val="4F646D"/>
                <w:sz w:val="19"/>
                <w:szCs w:val="19"/>
              </w:rPr>
              <w:t xml:space="preserve">Supervision policy and planning, quality of supervision, observed practice and competence, appraisal and development, oversight.</w:t>
            </w:r>
          </w:p>
          <w:p>
            <w:r>
              <w:rPr>
                <w:rFonts w:ascii="Calibri" w:cs="Calibri" w:eastAsia="Calibri" w:hAnsi="Calibri"/>
                <w:color w:val="0D7573"/>
                <w:sz w:val="16"/>
                <w:szCs w:val="16"/>
              </w:rPr>
              <w:t xml:space="preserve">26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r>
        <w:tc>
          <w:tcPr>
            <w:tcW w:type="dxa" w:w="5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left"/>
            </w:pPr>
            <w:r>
              <w:rPr>
                <w:rFonts w:ascii="Calibri" w:cs="Calibri" w:eastAsia="Calibri" w:hAnsi="Calibri"/>
                <w:b w:val="false"/>
                <w:bCs w:val="false"/>
                <w:sz w:val="20"/>
                <w:szCs w:val="20"/>
              </w:rPr>
              <w:t xml:space="preserve">22</w:t>
            </w:r>
          </w:p>
        </w:tc>
        <w:tc>
          <w:tcPr>
            <w:tcW w:type="dxa" w:w="7500"/>
            <w:tcBorders>
              <w:top w:val="single" w:color="D9E3E6" w:sz="4"/>
              <w:left w:val="single" w:color="D9E3E6" w:sz="4"/>
              <w:bottom w:val="single" w:color="D9E3E6" w:sz="4"/>
              <w:right w:val="single" w:color="D9E3E6" w:sz="4"/>
            </w:tcBorders>
            <w:tcMar>
              <w:top w:type="dxa" w:w="80"/>
              <w:left w:type="dxa" w:w="100"/>
              <w:bottom w:type="dxa" w:w="80"/>
              <w:right w:type="dxa" w:w="100"/>
            </w:tcMar>
          </w:tcPr>
          <w:p>
            <w:pPr>
              <w:spacing w:after="40"/>
            </w:pPr>
            <w:r>
              <w:rPr>
                <w:rFonts w:ascii="Calibri" w:cs="Calibri" w:eastAsia="Calibri" w:hAnsi="Calibri"/>
                <w:b/>
                <w:bCs/>
                <w:sz w:val="20"/>
                <w:szCs w:val="20"/>
              </w:rPr>
              <w:t xml:space="preserve">Quality, complaints and compliments</w:t>
            </w:r>
          </w:p>
          <w:p>
            <w:pPr>
              <w:spacing w:after="40"/>
            </w:pPr>
            <w:r>
              <w:rPr>
                <w:rFonts w:ascii="Calibri" w:cs="Calibri" w:eastAsia="Calibri" w:hAnsi="Calibri"/>
                <w:color w:val="4F646D"/>
                <w:sz w:val="19"/>
                <w:szCs w:val="19"/>
              </w:rPr>
              <w:t xml:space="preserve">Complaints, compliments and quality assurance in one review.</w:t>
            </w:r>
          </w:p>
          <w:p>
            <w:r>
              <w:rPr>
                <w:rFonts w:ascii="Calibri" w:cs="Calibri" w:eastAsia="Calibri" w:hAnsi="Calibri"/>
                <w:color w:val="0D7573"/>
                <w:sz w:val="16"/>
                <w:szCs w:val="16"/>
              </w:rPr>
              <w:t xml:space="preserve">14 questions</w:t>
            </w:r>
          </w:p>
        </w:tc>
        <w:tc>
          <w:tcPr>
            <w:tcW w:type="dxa" w:w="72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c>
          <w:tcPr>
            <w:tcW w:type="dxa" w:w="860"/>
            <w:tcBorders>
              <w:top w:val="single" w:color="D9E3E6" w:sz="4"/>
              <w:left w:val="single" w:color="D9E3E6" w:sz="4"/>
              <w:bottom w:val="single" w:color="D9E3E6" w:sz="4"/>
              <w:right w:val="single" w:color="D9E3E6" w:sz="4"/>
            </w:tcBorders>
            <w:tcMar>
              <w:top w:type="dxa" w:w="80"/>
              <w:left w:type="dxa" w:w="100"/>
              <w:bottom w:type="dxa" w:w="80"/>
              <w:right w:type="dxa" w:w="100"/>
            </w:tcMar>
          </w:tcPr>
          <w:p>
            <w:pPr>
              <w:jc w:val="center"/>
            </w:pPr>
            <w:r>
              <w:rPr>
                <w:rFonts w:ascii="Calibri" w:cs="Calibri" w:eastAsia="Calibri" w:hAnsi="Calibri"/>
                <w:b w:val="false"/>
                <w:bCs w:val="false"/>
                <w:sz w:val="20"/>
                <w:szCs w:val="20"/>
              </w:rPr>
              <w:t xml:space="preserve">☐</w:t>
            </w:r>
          </w:p>
        </w:tc>
      </w:tr>
    </w:tbl>
    <w:p>
      <w:pPr>
        <w:pStyle w:val="Heading1"/>
        <w:spacing w:after="120" w:before="320"/>
      </w:pPr>
      <w:r>
        <w:rPr>
          <w:rFonts w:ascii="Calibri" w:cs="Calibri" w:eastAsia="Calibri" w:hAnsi="Calibri"/>
          <w:b/>
          <w:bCs/>
          <w:color w:val="0B2431"/>
          <w:sz w:val="28"/>
          <w:szCs w:val="28"/>
        </w:rPr>
        <w:t xml:space="preserve">What a checklist cannot do</w:t>
      </w:r>
    </w:p>
    <w:p>
      <w:pPr>
        <w:spacing w:after="120"/>
      </w:pPr>
      <w:r>
        <w:rPr>
          <w:rFonts w:ascii="Calibri" w:cs="Calibri" w:eastAsia="Calibri" w:hAnsi="Calibri"/>
          <w:sz w:val="22"/>
          <w:szCs w:val="22"/>
        </w:rPr>
        <w:t xml:space="preserve">A checklist tells you where you stand today. It does not hold the evidence, keep the actions moving, or show anyone what changed since last month.</w:t>
      </w:r>
    </w:p>
    <w:p>
      <w:pPr>
        <w:spacing w:after="120"/>
      </w:pPr>
      <w:r>
        <w:rPr>
          <w:rFonts w:ascii="Calibri" w:cs="Calibri" w:eastAsia="Calibri" w:hAnsi="Calibri"/>
          <w:sz w:val="22"/>
          <w:szCs w:val="22"/>
        </w:rPr>
        <w:t xml:space="preserve">The New provider pack (£99 one-off) runs the 27 registration questions as a scored audit you can re-run, with the evidence expected for each, a Statement of Purpose template, a core policy starter set and a 30-minute call. The Digital Compliance Hub (from £29 a month) runs all 23 modules and 1,106 questions, with evidence attached to findings, actions owned and dated, and governance reports drawn from real audit data.</w:t>
      </w:r>
    </w:p>
    <w:p>
      <w:pPr>
        <w:spacing w:after="120"/>
      </w:pPr>
      <w:r>
        <w:rPr>
          <w:rFonts w:ascii="Calibri" w:cs="Calibri" w:eastAsia="Calibri" w:hAnsi="Calibri"/>
          <w:b/>
          <w:bCs/>
          <w:sz w:val="22"/>
          <w:szCs w:val="22"/>
        </w:rPr>
        <w:t xml:space="preserve">havertoncarehub.co.uk/free-checklist  ·  01322 879778  ·  info@havertoncarehub.co.uk</w:t>
      </w:r>
    </w:p>
    <w:p>
      <w:pPr>
        <w:spacing w:before="240"/>
      </w:pPr>
      <w:r>
        <w:rPr>
          <w:rFonts w:ascii="Calibri" w:cs="Calibri" w:eastAsia="Calibri" w:hAnsi="Calibri"/>
          <w:color w:val="4F646D"/>
          <w:sz w:val="17"/>
          <w:szCs w:val="17"/>
        </w:rPr>
        <w:t xml:space="preserve">Haverton Care Hub is an independent consultancy and software provider. It is not endorsed by, affiliated with or acting on behalf of the Care Quality Commission. This checklist supports your own preparation and judgement; it does not guarantee registration, a rating or any inspection outcome, and it is not a substitute for your own policies, clinical judgement or professional advice. Haverton Care Hub is a trading name of Haverton Care Limited, registered in England and Wales, company number 17025493.</w:t>
      </w:r>
    </w:p>
    <w:sectPr>
      <w:footerReference w:type="default" r:id="rId7"/>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4F646D"/>
        <w:sz w:val="16"/>
        <w:szCs w:val="16"/>
      </w:rPr>
      <w:t xml:space="preserve">Haverton Care Hub · havertoncarehub.co.uk · Page </w:t>
    </w:r>
    <w:r>
      <w:rPr>
        <w:rFonts w:ascii="Calibri" w:cs="Calibri" w:eastAsia="Calibri" w:hAnsi="Calibri"/>
        <w:color w:val="4F646D"/>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manager's monthly audit plan</dc:title>
  <dc:creator>Haverton Care Hub</dc:creator>
  <cp:lastModifiedBy>Un-named</cp:lastModifiedBy>
  <cp:revision>1</cp:revision>
  <dcterms:created xsi:type="dcterms:W3CDTF">2026-09-06T12:09:18.166Z</dcterms:created>
  <dcterms:modified xsi:type="dcterms:W3CDTF">2026-09-06T12:09:18.166Z</dcterms:modified>
</cp:coreProperties>
</file>

<file path=docProps/custom.xml><?xml version="1.0" encoding="utf-8"?>
<Properties xmlns="http://schemas.openxmlformats.org/officeDocument/2006/custom-properties" xmlns:vt="http://schemas.openxmlformats.org/officeDocument/2006/docPropsVTypes"/>
</file>